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16AF" w14:textId="45BD1E23" w:rsidR="009A52E0" w:rsidRPr="0021381B" w:rsidRDefault="00C91F5E" w:rsidP="00C91F5E">
      <w:pPr>
        <w:rPr>
          <w:rFonts w:hint="eastAsia"/>
          <w:b/>
          <w:bCs/>
          <w:sz w:val="24"/>
          <w:szCs w:val="28"/>
        </w:rPr>
      </w:pPr>
      <w:r w:rsidRPr="00C91F5E">
        <w:rPr>
          <w:b/>
          <w:bCs/>
          <w:sz w:val="24"/>
          <w:szCs w:val="28"/>
        </w:rPr>
        <w:t>老年看護援助論Ⅰ シラバス</w:t>
      </w:r>
    </w:p>
    <w:p w14:paraId="42597014" w14:textId="33B0EF82" w:rsidR="00C91F5E" w:rsidRPr="00C91F5E" w:rsidRDefault="00C91F5E" w:rsidP="00C91F5E">
      <w:pPr>
        <w:rPr>
          <w:b/>
          <w:bCs/>
        </w:rPr>
      </w:pPr>
      <w:r w:rsidRPr="00C91F5E">
        <w:rPr>
          <w:b/>
          <w:bCs/>
        </w:rPr>
        <w:t>1. 授業の目的</w:t>
      </w:r>
    </w:p>
    <w:p w14:paraId="7C2D8594" w14:textId="77777777" w:rsidR="00C91F5E" w:rsidRPr="00C91F5E" w:rsidRDefault="00C91F5E" w:rsidP="00C91F5E">
      <w:r w:rsidRPr="00C91F5E">
        <w:t>高齢者の特性を理解し、老年期における身体的・心理的・社会的変化を踏まえた日常生活援助技術を習得することを目的とする。高齢者が生活の質（QOL）を維持しながら、可能な限り自立した生活を送れるよう支援するための知識と技術を身につける。</w:t>
      </w:r>
    </w:p>
    <w:p w14:paraId="7052FDDD" w14:textId="77777777" w:rsidR="00C91F5E" w:rsidRDefault="00C91F5E" w:rsidP="00C91F5E">
      <w:pPr>
        <w:rPr>
          <w:b/>
          <w:bCs/>
        </w:rPr>
      </w:pPr>
    </w:p>
    <w:p w14:paraId="796A888E" w14:textId="62C66664" w:rsidR="00C91F5E" w:rsidRPr="00C91F5E" w:rsidRDefault="00C91F5E" w:rsidP="00C91F5E">
      <w:pPr>
        <w:rPr>
          <w:b/>
          <w:bCs/>
        </w:rPr>
      </w:pPr>
      <w:r w:rsidRPr="00C91F5E">
        <w:rPr>
          <w:b/>
          <w:bCs/>
        </w:rPr>
        <w:t>2. 授業の目標</w:t>
      </w:r>
    </w:p>
    <w:p w14:paraId="0705B14A" w14:textId="77777777" w:rsidR="00C91F5E" w:rsidRPr="00C91F5E" w:rsidRDefault="00C91F5E" w:rsidP="00C91F5E">
      <w:pPr>
        <w:numPr>
          <w:ilvl w:val="0"/>
          <w:numId w:val="1"/>
        </w:numPr>
      </w:pPr>
      <w:r w:rsidRPr="00C91F5E">
        <w:t>高齢者の加齢変化を理解し、日常生活援助技術の基礎を学ぶ。</w:t>
      </w:r>
    </w:p>
    <w:p w14:paraId="006F278C" w14:textId="77777777" w:rsidR="00C91F5E" w:rsidRPr="00C91F5E" w:rsidRDefault="00C91F5E" w:rsidP="00C91F5E">
      <w:pPr>
        <w:numPr>
          <w:ilvl w:val="0"/>
          <w:numId w:val="1"/>
        </w:numPr>
      </w:pPr>
      <w:r w:rsidRPr="00C91F5E">
        <w:t>高齢者の基本的ニーズをアセスメントし、適切な看護援助を提供できる。</w:t>
      </w:r>
    </w:p>
    <w:p w14:paraId="434CDA29" w14:textId="77777777" w:rsidR="00C91F5E" w:rsidRPr="00C91F5E" w:rsidRDefault="00C91F5E" w:rsidP="00C91F5E">
      <w:pPr>
        <w:numPr>
          <w:ilvl w:val="0"/>
          <w:numId w:val="1"/>
        </w:numPr>
      </w:pPr>
      <w:r w:rsidRPr="00C91F5E">
        <w:t>高齢者の尊厳を尊重し、安全で快適な日常生活を支援する方法を学ぶ。</w:t>
      </w:r>
    </w:p>
    <w:p w14:paraId="765A287D" w14:textId="77777777" w:rsidR="00C91F5E" w:rsidRPr="00C91F5E" w:rsidRDefault="00C91F5E" w:rsidP="00C91F5E">
      <w:pPr>
        <w:numPr>
          <w:ilvl w:val="0"/>
          <w:numId w:val="1"/>
        </w:numPr>
      </w:pPr>
      <w:r w:rsidRPr="00C91F5E">
        <w:t>実践的な援助技術を習得し、臨床現場での応用力を養う。</w:t>
      </w:r>
    </w:p>
    <w:p w14:paraId="0CCA5236" w14:textId="77777777" w:rsidR="00C91F5E" w:rsidRDefault="00C91F5E" w:rsidP="00C91F5E">
      <w:pPr>
        <w:rPr>
          <w:b/>
          <w:bCs/>
        </w:rPr>
      </w:pPr>
    </w:p>
    <w:p w14:paraId="7BD047A8" w14:textId="3AE20AEF" w:rsidR="00C91F5E" w:rsidRPr="00C91F5E" w:rsidRDefault="00C91F5E" w:rsidP="00C91F5E">
      <w:pPr>
        <w:rPr>
          <w:b/>
          <w:bCs/>
        </w:rPr>
      </w:pPr>
      <w:r w:rsidRPr="00C91F5E">
        <w:rPr>
          <w:b/>
          <w:bCs/>
        </w:rPr>
        <w:t>3. 授業方法</w:t>
      </w:r>
    </w:p>
    <w:p w14:paraId="0059E8CD" w14:textId="77777777" w:rsidR="00C91F5E" w:rsidRPr="00C91F5E" w:rsidRDefault="00C91F5E" w:rsidP="00C91F5E">
      <w:r w:rsidRPr="00C91F5E">
        <w:t>本講義は以下の方法を組み合わせて実施する。</w:t>
      </w:r>
    </w:p>
    <w:p w14:paraId="1444C230" w14:textId="77777777" w:rsidR="00C91F5E" w:rsidRPr="00C91F5E" w:rsidRDefault="00C91F5E" w:rsidP="00C91F5E">
      <w:pPr>
        <w:numPr>
          <w:ilvl w:val="0"/>
          <w:numId w:val="2"/>
        </w:numPr>
      </w:pPr>
      <w:r w:rsidRPr="00C91F5E">
        <w:rPr>
          <w:b/>
          <w:bCs/>
        </w:rPr>
        <w:t>講義</w:t>
      </w:r>
      <w:r w:rsidRPr="00C91F5E">
        <w:t>: 高齢者の特性や援助技術に関する理論的知識を学ぶ。</w:t>
      </w:r>
    </w:p>
    <w:p w14:paraId="2CDA6A61" w14:textId="77777777" w:rsidR="00C91F5E" w:rsidRPr="00C91F5E" w:rsidRDefault="00C91F5E" w:rsidP="00C91F5E">
      <w:pPr>
        <w:numPr>
          <w:ilvl w:val="0"/>
          <w:numId w:val="2"/>
        </w:numPr>
      </w:pPr>
      <w:r w:rsidRPr="00C91F5E">
        <w:rPr>
          <w:b/>
          <w:bCs/>
        </w:rPr>
        <w:t>グループワーク</w:t>
      </w:r>
      <w:r w:rsidRPr="00C91F5E">
        <w:t>: 事例検討を通してアセスメント能力や看護計画立案能力を養う。</w:t>
      </w:r>
    </w:p>
    <w:p w14:paraId="522FE342" w14:textId="77777777" w:rsidR="00C91F5E" w:rsidRPr="00C91F5E" w:rsidRDefault="00C91F5E" w:rsidP="00C91F5E">
      <w:pPr>
        <w:numPr>
          <w:ilvl w:val="0"/>
          <w:numId w:val="2"/>
        </w:numPr>
      </w:pPr>
      <w:r w:rsidRPr="00C91F5E">
        <w:rPr>
          <w:b/>
          <w:bCs/>
        </w:rPr>
        <w:t>実技演習</w:t>
      </w:r>
      <w:r w:rsidRPr="00C91F5E">
        <w:t>: 具体的な援助技術（食事介助、移乗、排泄援助など）を実践する。</w:t>
      </w:r>
    </w:p>
    <w:p w14:paraId="122E4D18" w14:textId="77777777" w:rsidR="00C91F5E" w:rsidRPr="00C91F5E" w:rsidRDefault="00C91F5E" w:rsidP="00C91F5E">
      <w:pPr>
        <w:numPr>
          <w:ilvl w:val="0"/>
          <w:numId w:val="2"/>
        </w:numPr>
      </w:pPr>
      <w:r w:rsidRPr="00C91F5E">
        <w:rPr>
          <w:b/>
          <w:bCs/>
        </w:rPr>
        <w:t>ディスカッション</w:t>
      </w:r>
      <w:r w:rsidRPr="00C91F5E">
        <w:t>: 各テーマについて討議し、実践的な理解を深める。</w:t>
      </w:r>
    </w:p>
    <w:p w14:paraId="15505DB3" w14:textId="77777777" w:rsidR="00C91F5E" w:rsidRPr="00C91F5E" w:rsidRDefault="00C91F5E" w:rsidP="00C91F5E">
      <w:pPr>
        <w:numPr>
          <w:ilvl w:val="0"/>
          <w:numId w:val="2"/>
        </w:numPr>
      </w:pPr>
      <w:r w:rsidRPr="00C91F5E">
        <w:rPr>
          <w:b/>
          <w:bCs/>
        </w:rPr>
        <w:t>振り返り</w:t>
      </w:r>
      <w:r w:rsidRPr="00C91F5E">
        <w:t>: 各回の学習内容を振り返り、理解の定着を図る。</w:t>
      </w:r>
    </w:p>
    <w:p w14:paraId="69508AB8" w14:textId="77777777" w:rsidR="00C91F5E" w:rsidRDefault="00C91F5E" w:rsidP="00C91F5E">
      <w:pPr>
        <w:rPr>
          <w:b/>
          <w:bCs/>
        </w:rPr>
      </w:pPr>
    </w:p>
    <w:p w14:paraId="430D02C2" w14:textId="77777777" w:rsidR="0063102D" w:rsidRDefault="0063102D" w:rsidP="00C91F5E">
      <w:pPr>
        <w:rPr>
          <w:b/>
          <w:bCs/>
        </w:rPr>
      </w:pPr>
    </w:p>
    <w:p w14:paraId="6EA21364" w14:textId="77777777" w:rsidR="0063102D" w:rsidRDefault="0063102D" w:rsidP="00C91F5E">
      <w:pPr>
        <w:rPr>
          <w:b/>
          <w:bCs/>
        </w:rPr>
      </w:pPr>
    </w:p>
    <w:p w14:paraId="4B3E49B5" w14:textId="77777777" w:rsidR="0063102D" w:rsidRDefault="0063102D" w:rsidP="00C91F5E">
      <w:pPr>
        <w:rPr>
          <w:b/>
          <w:bCs/>
        </w:rPr>
      </w:pPr>
    </w:p>
    <w:p w14:paraId="709BE5AB" w14:textId="77777777" w:rsidR="0063102D" w:rsidRDefault="0063102D" w:rsidP="00C91F5E">
      <w:pPr>
        <w:rPr>
          <w:b/>
          <w:bCs/>
        </w:rPr>
      </w:pPr>
    </w:p>
    <w:p w14:paraId="11958C1D" w14:textId="77777777" w:rsidR="0063102D" w:rsidRDefault="0063102D" w:rsidP="00C91F5E">
      <w:pPr>
        <w:rPr>
          <w:b/>
          <w:bCs/>
        </w:rPr>
      </w:pPr>
    </w:p>
    <w:p w14:paraId="2143BE7B" w14:textId="77777777" w:rsidR="0063102D" w:rsidRDefault="0063102D" w:rsidP="00C91F5E">
      <w:pPr>
        <w:rPr>
          <w:b/>
          <w:bCs/>
        </w:rPr>
      </w:pPr>
    </w:p>
    <w:p w14:paraId="7BF22FE0" w14:textId="77777777" w:rsidR="0063102D" w:rsidRDefault="0063102D" w:rsidP="00C91F5E">
      <w:pPr>
        <w:rPr>
          <w:b/>
          <w:bCs/>
        </w:rPr>
      </w:pPr>
    </w:p>
    <w:p w14:paraId="14A125C1" w14:textId="77777777" w:rsidR="0063102D" w:rsidRDefault="0063102D" w:rsidP="00C91F5E">
      <w:pPr>
        <w:rPr>
          <w:b/>
          <w:bCs/>
        </w:rPr>
      </w:pPr>
    </w:p>
    <w:p w14:paraId="6BE16BF7" w14:textId="77777777" w:rsidR="0063102D" w:rsidRDefault="0063102D" w:rsidP="00C91F5E">
      <w:pPr>
        <w:rPr>
          <w:b/>
          <w:bCs/>
        </w:rPr>
      </w:pPr>
    </w:p>
    <w:p w14:paraId="5CCFA7BF" w14:textId="77777777" w:rsidR="0063102D" w:rsidRDefault="0063102D" w:rsidP="00C91F5E">
      <w:pPr>
        <w:rPr>
          <w:b/>
          <w:bCs/>
        </w:rPr>
      </w:pPr>
    </w:p>
    <w:p w14:paraId="695D20A0" w14:textId="77777777" w:rsidR="0063102D" w:rsidRDefault="0063102D" w:rsidP="00C91F5E">
      <w:pPr>
        <w:rPr>
          <w:b/>
          <w:bCs/>
        </w:rPr>
      </w:pPr>
    </w:p>
    <w:p w14:paraId="4D31D368" w14:textId="77777777" w:rsidR="0063102D" w:rsidRDefault="0063102D" w:rsidP="00C91F5E">
      <w:pPr>
        <w:rPr>
          <w:b/>
          <w:bCs/>
        </w:rPr>
      </w:pPr>
    </w:p>
    <w:p w14:paraId="7E79C7B3" w14:textId="77777777" w:rsidR="0063102D" w:rsidRDefault="0063102D" w:rsidP="00C91F5E">
      <w:pPr>
        <w:rPr>
          <w:b/>
          <w:bCs/>
        </w:rPr>
      </w:pPr>
    </w:p>
    <w:p w14:paraId="0DB88E05" w14:textId="77777777" w:rsidR="0063102D" w:rsidRDefault="0063102D" w:rsidP="00C91F5E">
      <w:pPr>
        <w:rPr>
          <w:b/>
          <w:bCs/>
        </w:rPr>
      </w:pPr>
    </w:p>
    <w:p w14:paraId="64D90A4A" w14:textId="77777777" w:rsidR="0063102D" w:rsidRDefault="0063102D" w:rsidP="00C91F5E">
      <w:pPr>
        <w:rPr>
          <w:b/>
          <w:bCs/>
        </w:rPr>
      </w:pPr>
    </w:p>
    <w:p w14:paraId="6492AEDB" w14:textId="77777777" w:rsidR="0063102D" w:rsidRDefault="0063102D" w:rsidP="00C91F5E">
      <w:pPr>
        <w:rPr>
          <w:b/>
          <w:bCs/>
        </w:rPr>
      </w:pPr>
    </w:p>
    <w:p w14:paraId="580BBCD3" w14:textId="77777777" w:rsidR="0063102D" w:rsidRDefault="0063102D" w:rsidP="00C91F5E">
      <w:pPr>
        <w:rPr>
          <w:b/>
          <w:bCs/>
        </w:rPr>
      </w:pPr>
    </w:p>
    <w:p w14:paraId="26CE7CC5" w14:textId="77777777" w:rsidR="0063102D" w:rsidRDefault="0063102D" w:rsidP="00C91F5E">
      <w:pPr>
        <w:rPr>
          <w:b/>
          <w:bCs/>
        </w:rPr>
      </w:pPr>
    </w:p>
    <w:p w14:paraId="2E9FE4FA" w14:textId="77777777" w:rsidR="0063102D" w:rsidRDefault="0063102D" w:rsidP="00C91F5E">
      <w:pPr>
        <w:rPr>
          <w:rFonts w:hint="eastAsia"/>
          <w:b/>
          <w:bCs/>
        </w:rPr>
      </w:pPr>
    </w:p>
    <w:p w14:paraId="68584A28" w14:textId="6741CFFA" w:rsidR="00C91F5E" w:rsidRPr="00C91F5E" w:rsidRDefault="00C91F5E" w:rsidP="00C91F5E">
      <w:pPr>
        <w:rPr>
          <w:rFonts w:hint="eastAsia"/>
          <w:b/>
          <w:bCs/>
        </w:rPr>
      </w:pPr>
      <w:r w:rsidRPr="00C91F5E">
        <w:rPr>
          <w:b/>
          <w:bCs/>
        </w:rPr>
        <w:lastRenderedPageBreak/>
        <w:t>4. 授業計画（全1</w:t>
      </w:r>
      <w:r w:rsidRPr="009A52E0">
        <w:rPr>
          <w:rFonts w:hint="eastAsia"/>
          <w:b/>
          <w:bCs/>
        </w:rPr>
        <w:t>5</w:t>
      </w:r>
      <w:r w:rsidRPr="00C91F5E">
        <w:rPr>
          <w:b/>
          <w:bCs/>
        </w:rPr>
        <w:t>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961"/>
        <w:gridCol w:w="4678"/>
        <w:gridCol w:w="2545"/>
      </w:tblGrid>
      <w:tr w:rsidR="0021381B" w:rsidRPr="0021381B" w14:paraId="671C9B55" w14:textId="77777777" w:rsidTr="0063102D">
        <w:tc>
          <w:tcPr>
            <w:tcW w:w="0" w:type="auto"/>
            <w:hideMark/>
          </w:tcPr>
          <w:p w14:paraId="3F8C45B4" w14:textId="77777777" w:rsidR="0021381B" w:rsidRPr="0021381B" w:rsidRDefault="0021381B" w:rsidP="0021381B">
            <w:pPr>
              <w:rPr>
                <w:b/>
                <w:bCs/>
              </w:rPr>
            </w:pPr>
            <w:r w:rsidRPr="0021381B">
              <w:rPr>
                <w:b/>
                <w:bCs/>
              </w:rPr>
              <w:t>回</w:t>
            </w:r>
          </w:p>
        </w:tc>
        <w:tc>
          <w:tcPr>
            <w:tcW w:w="1961" w:type="dxa"/>
            <w:hideMark/>
          </w:tcPr>
          <w:p w14:paraId="035AD373" w14:textId="77777777" w:rsidR="0021381B" w:rsidRPr="0021381B" w:rsidRDefault="0021381B" w:rsidP="0021381B">
            <w:pPr>
              <w:rPr>
                <w:b/>
                <w:bCs/>
              </w:rPr>
            </w:pPr>
            <w:r w:rsidRPr="0021381B">
              <w:rPr>
                <w:b/>
                <w:bCs/>
              </w:rPr>
              <w:t>テーマ</w:t>
            </w:r>
          </w:p>
        </w:tc>
        <w:tc>
          <w:tcPr>
            <w:tcW w:w="4678" w:type="dxa"/>
            <w:hideMark/>
          </w:tcPr>
          <w:p w14:paraId="4E6E9A13" w14:textId="77777777" w:rsidR="0021381B" w:rsidRPr="0021381B" w:rsidRDefault="0021381B" w:rsidP="0021381B">
            <w:pPr>
              <w:rPr>
                <w:b/>
                <w:bCs/>
              </w:rPr>
            </w:pPr>
            <w:r w:rsidRPr="0021381B">
              <w:rPr>
                <w:b/>
                <w:bCs/>
              </w:rPr>
              <w:t>内容</w:t>
            </w:r>
          </w:p>
        </w:tc>
        <w:tc>
          <w:tcPr>
            <w:tcW w:w="2545" w:type="dxa"/>
            <w:hideMark/>
          </w:tcPr>
          <w:p w14:paraId="0419A6B2" w14:textId="77777777" w:rsidR="0021381B" w:rsidRPr="0021381B" w:rsidRDefault="0021381B" w:rsidP="0021381B">
            <w:pPr>
              <w:rPr>
                <w:b/>
                <w:bCs/>
              </w:rPr>
            </w:pPr>
            <w:r w:rsidRPr="0021381B">
              <w:rPr>
                <w:b/>
                <w:bCs/>
              </w:rPr>
              <w:t>講義方法</w:t>
            </w:r>
          </w:p>
        </w:tc>
      </w:tr>
      <w:tr w:rsidR="0021381B" w:rsidRPr="0021381B" w14:paraId="6702E2AF" w14:textId="77777777" w:rsidTr="0063102D">
        <w:tc>
          <w:tcPr>
            <w:tcW w:w="0" w:type="auto"/>
            <w:hideMark/>
          </w:tcPr>
          <w:p w14:paraId="4F7FED36" w14:textId="77777777" w:rsidR="0021381B" w:rsidRPr="0021381B" w:rsidRDefault="0021381B" w:rsidP="0021381B">
            <w:r w:rsidRPr="0021381B">
              <w:t>1</w:t>
            </w:r>
          </w:p>
        </w:tc>
        <w:tc>
          <w:tcPr>
            <w:tcW w:w="1961" w:type="dxa"/>
            <w:hideMark/>
          </w:tcPr>
          <w:p w14:paraId="79BC0894" w14:textId="77777777" w:rsidR="0021381B" w:rsidRPr="0021381B" w:rsidRDefault="0021381B" w:rsidP="0021381B">
            <w:r w:rsidRPr="0021381B">
              <w:t>高齢者の特徴と加齢変化</w:t>
            </w:r>
          </w:p>
        </w:tc>
        <w:tc>
          <w:tcPr>
            <w:tcW w:w="4678" w:type="dxa"/>
            <w:hideMark/>
          </w:tcPr>
          <w:p w14:paraId="45AA93C0" w14:textId="3BF30611" w:rsidR="0021381B" w:rsidRDefault="0021381B" w:rsidP="0021381B">
            <w:pPr>
              <w:rPr>
                <w:rFonts w:hint="eastAsia"/>
              </w:rPr>
            </w:pPr>
            <w:r w:rsidRPr="0021381B">
              <w:t>加齢による身体的・精神的・社会的変化の理解</w:t>
            </w:r>
          </w:p>
          <w:p w14:paraId="3DA21F69" w14:textId="65F01034" w:rsidR="0021381B" w:rsidRPr="0021381B" w:rsidRDefault="0021381B" w:rsidP="0021381B">
            <w:r w:rsidRPr="0021381B">
              <w:t>高齢者ケアの基本的視点の確認</w:t>
            </w:r>
          </w:p>
        </w:tc>
        <w:tc>
          <w:tcPr>
            <w:tcW w:w="2545" w:type="dxa"/>
            <w:hideMark/>
          </w:tcPr>
          <w:p w14:paraId="0F9BCC8C" w14:textId="77777777" w:rsidR="0021381B" w:rsidRPr="0021381B" w:rsidRDefault="0021381B" w:rsidP="0021381B">
            <w:r w:rsidRPr="0021381B">
              <w:t>講義・ディスカッション</w:t>
            </w:r>
          </w:p>
        </w:tc>
      </w:tr>
      <w:tr w:rsidR="0021381B" w:rsidRPr="0021381B" w14:paraId="6A5C32FE" w14:textId="77777777" w:rsidTr="0063102D">
        <w:tc>
          <w:tcPr>
            <w:tcW w:w="0" w:type="auto"/>
            <w:hideMark/>
          </w:tcPr>
          <w:p w14:paraId="74BF4CE1" w14:textId="77777777" w:rsidR="0021381B" w:rsidRPr="0021381B" w:rsidRDefault="0021381B" w:rsidP="0021381B">
            <w:r w:rsidRPr="0021381B">
              <w:t>2</w:t>
            </w:r>
          </w:p>
        </w:tc>
        <w:tc>
          <w:tcPr>
            <w:tcW w:w="1961" w:type="dxa"/>
            <w:hideMark/>
          </w:tcPr>
          <w:p w14:paraId="69F556DC" w14:textId="77777777" w:rsidR="0021381B" w:rsidRPr="0021381B" w:rsidRDefault="0021381B" w:rsidP="0021381B">
            <w:r w:rsidRPr="0021381B">
              <w:t>高齢者の栄養・食事援助</w:t>
            </w:r>
          </w:p>
        </w:tc>
        <w:tc>
          <w:tcPr>
            <w:tcW w:w="4678" w:type="dxa"/>
            <w:hideMark/>
          </w:tcPr>
          <w:p w14:paraId="4A712348" w14:textId="77777777" w:rsidR="0021381B" w:rsidRDefault="0021381B" w:rsidP="0021381B">
            <w:r w:rsidRPr="0021381B">
              <w:t>栄養状態の評価、嚥下機能の変化</w:t>
            </w:r>
          </w:p>
          <w:p w14:paraId="04123155" w14:textId="1EFB165E" w:rsidR="0021381B" w:rsidRPr="0021381B" w:rsidRDefault="0021381B" w:rsidP="0021381B">
            <w:r w:rsidRPr="0021381B">
              <w:t>食事形態の選択</w:t>
            </w:r>
            <w:r w:rsidR="0063102D">
              <w:rPr>
                <w:rFonts w:hint="eastAsia"/>
              </w:rPr>
              <w:t>、</w:t>
            </w:r>
            <w:r w:rsidRPr="0021381B">
              <w:t>食事介助の実践</w:t>
            </w:r>
          </w:p>
        </w:tc>
        <w:tc>
          <w:tcPr>
            <w:tcW w:w="2545" w:type="dxa"/>
            <w:hideMark/>
          </w:tcPr>
          <w:p w14:paraId="48FB4393" w14:textId="77777777" w:rsidR="0021381B" w:rsidRPr="0021381B" w:rsidRDefault="0021381B" w:rsidP="0021381B">
            <w:r w:rsidRPr="0021381B">
              <w:t>講義・実技演習</w:t>
            </w:r>
          </w:p>
        </w:tc>
      </w:tr>
      <w:tr w:rsidR="0021381B" w:rsidRPr="0021381B" w14:paraId="28808CB7" w14:textId="77777777" w:rsidTr="0063102D">
        <w:tc>
          <w:tcPr>
            <w:tcW w:w="0" w:type="auto"/>
            <w:hideMark/>
          </w:tcPr>
          <w:p w14:paraId="6E1D3D3F" w14:textId="77777777" w:rsidR="0021381B" w:rsidRPr="0021381B" w:rsidRDefault="0021381B" w:rsidP="0021381B">
            <w:r w:rsidRPr="0021381B">
              <w:t>3</w:t>
            </w:r>
          </w:p>
        </w:tc>
        <w:tc>
          <w:tcPr>
            <w:tcW w:w="1961" w:type="dxa"/>
            <w:hideMark/>
          </w:tcPr>
          <w:p w14:paraId="72C38734" w14:textId="77777777" w:rsidR="0021381B" w:rsidRPr="0021381B" w:rsidRDefault="0021381B" w:rsidP="0021381B">
            <w:r w:rsidRPr="0021381B">
              <w:t>口腔ケアの重要性と実践</w:t>
            </w:r>
          </w:p>
        </w:tc>
        <w:tc>
          <w:tcPr>
            <w:tcW w:w="4678" w:type="dxa"/>
            <w:hideMark/>
          </w:tcPr>
          <w:p w14:paraId="16E26D98" w14:textId="77777777" w:rsidR="0021381B" w:rsidRDefault="0021381B" w:rsidP="0021381B">
            <w:r w:rsidRPr="0021381B">
              <w:t>口腔衛生と全身の健康の関連</w:t>
            </w:r>
          </w:p>
          <w:p w14:paraId="5226D6B1" w14:textId="6C49A6AA" w:rsidR="0021381B" w:rsidRPr="0021381B" w:rsidRDefault="0021381B" w:rsidP="0021381B">
            <w:r w:rsidRPr="0021381B">
              <w:t>義歯の取り扱い</w:t>
            </w:r>
            <w:r w:rsidR="0063102D">
              <w:rPr>
                <w:rFonts w:hint="eastAsia"/>
              </w:rPr>
              <w:t>、</w:t>
            </w:r>
            <w:r w:rsidRPr="0021381B">
              <w:t>誤嚥予防のケア技術</w:t>
            </w:r>
          </w:p>
        </w:tc>
        <w:tc>
          <w:tcPr>
            <w:tcW w:w="2545" w:type="dxa"/>
            <w:hideMark/>
          </w:tcPr>
          <w:p w14:paraId="3707276F" w14:textId="77777777" w:rsidR="0021381B" w:rsidRPr="0021381B" w:rsidRDefault="0021381B" w:rsidP="0021381B">
            <w:r w:rsidRPr="0021381B">
              <w:t>講義・実技演習</w:t>
            </w:r>
          </w:p>
        </w:tc>
      </w:tr>
      <w:tr w:rsidR="0021381B" w:rsidRPr="0021381B" w14:paraId="4AC34CEA" w14:textId="77777777" w:rsidTr="0063102D">
        <w:tc>
          <w:tcPr>
            <w:tcW w:w="0" w:type="auto"/>
            <w:hideMark/>
          </w:tcPr>
          <w:p w14:paraId="66A31594" w14:textId="77777777" w:rsidR="0021381B" w:rsidRPr="0021381B" w:rsidRDefault="0021381B" w:rsidP="0021381B">
            <w:r w:rsidRPr="0021381B">
              <w:t>4</w:t>
            </w:r>
          </w:p>
        </w:tc>
        <w:tc>
          <w:tcPr>
            <w:tcW w:w="1961" w:type="dxa"/>
            <w:hideMark/>
          </w:tcPr>
          <w:p w14:paraId="197FCB73" w14:textId="77777777" w:rsidR="0021381B" w:rsidRPr="0021381B" w:rsidRDefault="0021381B" w:rsidP="0021381B">
            <w:r w:rsidRPr="0021381B">
              <w:t>排泄援助（排尿・排便）</w:t>
            </w:r>
          </w:p>
        </w:tc>
        <w:tc>
          <w:tcPr>
            <w:tcW w:w="4678" w:type="dxa"/>
            <w:hideMark/>
          </w:tcPr>
          <w:p w14:paraId="1931D3EA" w14:textId="62EC0146" w:rsidR="0021381B" w:rsidRDefault="0021381B" w:rsidP="0021381B">
            <w:r w:rsidRPr="0021381B">
              <w:t>排泄障害の種類と原因</w:t>
            </w:r>
            <w:r w:rsidR="0063102D">
              <w:rPr>
                <w:rFonts w:hint="eastAsia"/>
              </w:rPr>
              <w:t>、</w:t>
            </w:r>
            <w:r w:rsidRPr="0021381B">
              <w:t>適切な排泄援助の方法</w:t>
            </w:r>
          </w:p>
          <w:p w14:paraId="56ACB7D8" w14:textId="7A114D80" w:rsidR="0021381B" w:rsidRPr="0021381B" w:rsidRDefault="0021381B" w:rsidP="0021381B">
            <w:r w:rsidRPr="0021381B">
              <w:t>排泄日誌の活用</w:t>
            </w:r>
            <w:r w:rsidR="0063102D">
              <w:rPr>
                <w:rFonts w:hint="eastAsia"/>
              </w:rPr>
              <w:t>、</w:t>
            </w:r>
            <w:r w:rsidRPr="0021381B">
              <w:t>下剤の使用とリスク</w:t>
            </w:r>
          </w:p>
        </w:tc>
        <w:tc>
          <w:tcPr>
            <w:tcW w:w="2545" w:type="dxa"/>
            <w:hideMark/>
          </w:tcPr>
          <w:p w14:paraId="3B15B4BB" w14:textId="77777777" w:rsidR="0021381B" w:rsidRPr="0021381B" w:rsidRDefault="0021381B" w:rsidP="0021381B">
            <w:r w:rsidRPr="0021381B">
              <w:t>講義・グループワーク</w:t>
            </w:r>
          </w:p>
        </w:tc>
      </w:tr>
      <w:tr w:rsidR="0021381B" w:rsidRPr="0021381B" w14:paraId="5136FDE5" w14:textId="77777777" w:rsidTr="0063102D">
        <w:tc>
          <w:tcPr>
            <w:tcW w:w="0" w:type="auto"/>
            <w:hideMark/>
          </w:tcPr>
          <w:p w14:paraId="416A84D3" w14:textId="77777777" w:rsidR="0021381B" w:rsidRPr="0021381B" w:rsidRDefault="0021381B" w:rsidP="0021381B">
            <w:r w:rsidRPr="0021381B">
              <w:t>5</w:t>
            </w:r>
          </w:p>
        </w:tc>
        <w:tc>
          <w:tcPr>
            <w:tcW w:w="1961" w:type="dxa"/>
            <w:hideMark/>
          </w:tcPr>
          <w:p w14:paraId="2E7667FF" w14:textId="77777777" w:rsidR="0021381B" w:rsidRPr="0021381B" w:rsidRDefault="0021381B" w:rsidP="0021381B">
            <w:r w:rsidRPr="0021381B">
              <w:t>入浴・清拭の援助</w:t>
            </w:r>
          </w:p>
        </w:tc>
        <w:tc>
          <w:tcPr>
            <w:tcW w:w="4678" w:type="dxa"/>
            <w:hideMark/>
          </w:tcPr>
          <w:p w14:paraId="7072EE93" w14:textId="77777777" w:rsidR="0021381B" w:rsidRDefault="0021381B" w:rsidP="0021381B">
            <w:r w:rsidRPr="0021381B">
              <w:t>高齢者の皮膚特性を踏まえた入浴・清拭の実践</w:t>
            </w:r>
          </w:p>
          <w:p w14:paraId="0F807735" w14:textId="57BC5E1A" w:rsidR="0021381B" w:rsidRPr="0021381B" w:rsidRDefault="0021381B" w:rsidP="0021381B">
            <w:r w:rsidRPr="0021381B">
              <w:t>安全な入浴支援の方法</w:t>
            </w:r>
          </w:p>
        </w:tc>
        <w:tc>
          <w:tcPr>
            <w:tcW w:w="2545" w:type="dxa"/>
            <w:hideMark/>
          </w:tcPr>
          <w:p w14:paraId="4E69F05D" w14:textId="77777777" w:rsidR="0021381B" w:rsidRPr="0021381B" w:rsidRDefault="0021381B" w:rsidP="0021381B">
            <w:r w:rsidRPr="0021381B">
              <w:t>講義・実技演習</w:t>
            </w:r>
          </w:p>
        </w:tc>
      </w:tr>
      <w:tr w:rsidR="0021381B" w:rsidRPr="0021381B" w14:paraId="561773CC" w14:textId="77777777" w:rsidTr="0063102D">
        <w:tc>
          <w:tcPr>
            <w:tcW w:w="0" w:type="auto"/>
            <w:hideMark/>
          </w:tcPr>
          <w:p w14:paraId="45B7196D" w14:textId="77777777" w:rsidR="0021381B" w:rsidRPr="0021381B" w:rsidRDefault="0021381B" w:rsidP="0021381B">
            <w:r w:rsidRPr="0021381B">
              <w:t>6</w:t>
            </w:r>
          </w:p>
        </w:tc>
        <w:tc>
          <w:tcPr>
            <w:tcW w:w="1961" w:type="dxa"/>
            <w:hideMark/>
          </w:tcPr>
          <w:p w14:paraId="1C573F45" w14:textId="77777777" w:rsidR="0021381B" w:rsidRPr="0021381B" w:rsidRDefault="0021381B" w:rsidP="0021381B">
            <w:r w:rsidRPr="0021381B">
              <w:t>高齢者の皮膚・褥瘡予防</w:t>
            </w:r>
          </w:p>
        </w:tc>
        <w:tc>
          <w:tcPr>
            <w:tcW w:w="4678" w:type="dxa"/>
            <w:hideMark/>
          </w:tcPr>
          <w:p w14:paraId="4BB456E9" w14:textId="77777777" w:rsidR="0021381B" w:rsidRDefault="0021381B" w:rsidP="0021381B">
            <w:r w:rsidRPr="0021381B">
              <w:t>皮膚の特徴、スキンケア</w:t>
            </w:r>
          </w:p>
          <w:p w14:paraId="5A22F748" w14:textId="5BE3C2C8" w:rsidR="0021381B" w:rsidRPr="0021381B" w:rsidRDefault="0021381B" w:rsidP="0021381B">
            <w:r w:rsidRPr="0021381B">
              <w:t>褥瘡予防のポジショニングや体圧分散技術</w:t>
            </w:r>
          </w:p>
        </w:tc>
        <w:tc>
          <w:tcPr>
            <w:tcW w:w="2545" w:type="dxa"/>
            <w:hideMark/>
          </w:tcPr>
          <w:p w14:paraId="0A756E5C" w14:textId="77777777" w:rsidR="0021381B" w:rsidRPr="0021381B" w:rsidRDefault="0021381B" w:rsidP="0021381B">
            <w:r w:rsidRPr="0021381B">
              <w:t>講義・実技演習</w:t>
            </w:r>
          </w:p>
        </w:tc>
      </w:tr>
      <w:tr w:rsidR="0021381B" w:rsidRPr="0021381B" w14:paraId="2C915EE3" w14:textId="77777777" w:rsidTr="0063102D">
        <w:tc>
          <w:tcPr>
            <w:tcW w:w="0" w:type="auto"/>
            <w:hideMark/>
          </w:tcPr>
          <w:p w14:paraId="5CC231AC" w14:textId="77777777" w:rsidR="0021381B" w:rsidRPr="0021381B" w:rsidRDefault="0021381B" w:rsidP="0021381B">
            <w:r w:rsidRPr="0021381B">
              <w:t>7</w:t>
            </w:r>
          </w:p>
        </w:tc>
        <w:tc>
          <w:tcPr>
            <w:tcW w:w="1961" w:type="dxa"/>
            <w:hideMark/>
          </w:tcPr>
          <w:p w14:paraId="20F88826" w14:textId="77777777" w:rsidR="0021381B" w:rsidRPr="0021381B" w:rsidRDefault="0021381B" w:rsidP="0021381B">
            <w:r w:rsidRPr="0021381B">
              <w:t>睡眠と休息の援助</w:t>
            </w:r>
          </w:p>
        </w:tc>
        <w:tc>
          <w:tcPr>
            <w:tcW w:w="4678" w:type="dxa"/>
            <w:hideMark/>
          </w:tcPr>
          <w:p w14:paraId="77927E43" w14:textId="77777777" w:rsidR="0021381B" w:rsidRDefault="0021381B" w:rsidP="0021381B">
            <w:r w:rsidRPr="0021381B">
              <w:t>睡眠障害の特徴</w:t>
            </w:r>
          </w:p>
          <w:p w14:paraId="6474913D" w14:textId="77777777" w:rsidR="0021381B" w:rsidRDefault="0021381B" w:rsidP="0021381B">
            <w:r w:rsidRPr="0021381B">
              <w:t>環境調整</w:t>
            </w:r>
            <w:r>
              <w:rPr>
                <w:rFonts w:hint="eastAsia"/>
              </w:rPr>
              <w:t>・</w:t>
            </w:r>
            <w:r w:rsidRPr="0021381B">
              <w:t>生活リズムの整え方</w:t>
            </w:r>
          </w:p>
          <w:p w14:paraId="798BEC86" w14:textId="15A134D5" w:rsidR="0021381B" w:rsidRPr="0021381B" w:rsidRDefault="0021381B" w:rsidP="0021381B">
            <w:r w:rsidRPr="0021381B">
              <w:t>リラクゼーション方法</w:t>
            </w:r>
          </w:p>
        </w:tc>
        <w:tc>
          <w:tcPr>
            <w:tcW w:w="2545" w:type="dxa"/>
            <w:hideMark/>
          </w:tcPr>
          <w:p w14:paraId="07FDBEE7" w14:textId="77777777" w:rsidR="0021381B" w:rsidRPr="0021381B" w:rsidRDefault="0021381B" w:rsidP="0021381B">
            <w:r w:rsidRPr="0021381B">
              <w:t>講義・ディスカッション</w:t>
            </w:r>
          </w:p>
        </w:tc>
      </w:tr>
      <w:tr w:rsidR="0021381B" w:rsidRPr="0021381B" w14:paraId="2FB02C27" w14:textId="77777777" w:rsidTr="0063102D">
        <w:tc>
          <w:tcPr>
            <w:tcW w:w="0" w:type="auto"/>
            <w:hideMark/>
          </w:tcPr>
          <w:p w14:paraId="5FF2026E" w14:textId="77777777" w:rsidR="0021381B" w:rsidRPr="0021381B" w:rsidRDefault="0021381B" w:rsidP="0021381B">
            <w:r w:rsidRPr="0021381B">
              <w:t>8</w:t>
            </w:r>
          </w:p>
        </w:tc>
        <w:tc>
          <w:tcPr>
            <w:tcW w:w="1961" w:type="dxa"/>
            <w:hideMark/>
          </w:tcPr>
          <w:p w14:paraId="6254193D" w14:textId="77777777" w:rsidR="0021381B" w:rsidRPr="0021381B" w:rsidRDefault="0021381B" w:rsidP="0021381B">
            <w:r w:rsidRPr="0021381B">
              <w:t>体位変換と移動・移乗</w:t>
            </w:r>
          </w:p>
        </w:tc>
        <w:tc>
          <w:tcPr>
            <w:tcW w:w="4678" w:type="dxa"/>
            <w:hideMark/>
          </w:tcPr>
          <w:p w14:paraId="6A6C08CE" w14:textId="77777777" w:rsidR="0021381B" w:rsidRDefault="0021381B" w:rsidP="0021381B">
            <w:r w:rsidRPr="0021381B">
              <w:t>身体可動性の評価</w:t>
            </w:r>
          </w:p>
          <w:p w14:paraId="74DCDD49" w14:textId="77777777" w:rsidR="0021381B" w:rsidRDefault="0021381B" w:rsidP="0021381B">
            <w:r w:rsidRPr="0021381B">
              <w:t>ポジショニングの重要性</w:t>
            </w:r>
          </w:p>
          <w:p w14:paraId="4F592CD9" w14:textId="45DE1BCA" w:rsidR="0021381B" w:rsidRPr="0021381B" w:rsidRDefault="0021381B" w:rsidP="0021381B">
            <w:r w:rsidRPr="0021381B">
              <w:t>安全な移乗・移動介助技術</w:t>
            </w:r>
          </w:p>
        </w:tc>
        <w:tc>
          <w:tcPr>
            <w:tcW w:w="2545" w:type="dxa"/>
            <w:hideMark/>
          </w:tcPr>
          <w:p w14:paraId="2B1A6C0E" w14:textId="77777777" w:rsidR="0021381B" w:rsidRPr="0021381B" w:rsidRDefault="0021381B" w:rsidP="0021381B">
            <w:r w:rsidRPr="0021381B">
              <w:t>講義・実技演習</w:t>
            </w:r>
          </w:p>
        </w:tc>
      </w:tr>
      <w:tr w:rsidR="0021381B" w:rsidRPr="0021381B" w14:paraId="013BC6E1" w14:textId="77777777" w:rsidTr="0063102D">
        <w:tc>
          <w:tcPr>
            <w:tcW w:w="0" w:type="auto"/>
            <w:hideMark/>
          </w:tcPr>
          <w:p w14:paraId="149AB08F" w14:textId="77777777" w:rsidR="0021381B" w:rsidRPr="0021381B" w:rsidRDefault="0021381B" w:rsidP="0021381B">
            <w:r w:rsidRPr="0021381B">
              <w:t>9</w:t>
            </w:r>
          </w:p>
        </w:tc>
        <w:tc>
          <w:tcPr>
            <w:tcW w:w="1961" w:type="dxa"/>
            <w:hideMark/>
          </w:tcPr>
          <w:p w14:paraId="0D741001" w14:textId="77777777" w:rsidR="0021381B" w:rsidRPr="0021381B" w:rsidRDefault="0021381B" w:rsidP="0021381B">
            <w:r w:rsidRPr="0021381B">
              <w:t>転倒予防とリスク管理</w:t>
            </w:r>
          </w:p>
        </w:tc>
        <w:tc>
          <w:tcPr>
            <w:tcW w:w="4678" w:type="dxa"/>
            <w:hideMark/>
          </w:tcPr>
          <w:p w14:paraId="54369CE3" w14:textId="77777777" w:rsidR="0021381B" w:rsidRDefault="0021381B" w:rsidP="0021381B">
            <w:r w:rsidRPr="0021381B">
              <w:t>転倒リスクの評価方法</w:t>
            </w:r>
          </w:p>
          <w:p w14:paraId="1E3FF8E8" w14:textId="77777777" w:rsidR="0021381B" w:rsidRDefault="0021381B" w:rsidP="0021381B">
            <w:r w:rsidRPr="0021381B">
              <w:t>環境整備、転倒予防体操の導入</w:t>
            </w:r>
          </w:p>
          <w:p w14:paraId="3896B6BA" w14:textId="464D4AEB" w:rsidR="0021381B" w:rsidRPr="0021381B" w:rsidRDefault="0021381B" w:rsidP="0021381B">
            <w:r w:rsidRPr="0021381B">
              <w:t>安全な歩行支援技術</w:t>
            </w:r>
          </w:p>
        </w:tc>
        <w:tc>
          <w:tcPr>
            <w:tcW w:w="2545" w:type="dxa"/>
            <w:hideMark/>
          </w:tcPr>
          <w:p w14:paraId="08ECD889" w14:textId="77777777" w:rsidR="0021381B" w:rsidRPr="0021381B" w:rsidRDefault="0021381B" w:rsidP="0021381B">
            <w:r w:rsidRPr="0021381B">
              <w:t>講義・実技演習</w:t>
            </w:r>
          </w:p>
        </w:tc>
      </w:tr>
      <w:tr w:rsidR="0021381B" w:rsidRPr="0021381B" w14:paraId="0A5FC0DF" w14:textId="77777777" w:rsidTr="0063102D">
        <w:tc>
          <w:tcPr>
            <w:tcW w:w="0" w:type="auto"/>
            <w:hideMark/>
          </w:tcPr>
          <w:p w14:paraId="6D4967AC" w14:textId="77777777" w:rsidR="0021381B" w:rsidRPr="0021381B" w:rsidRDefault="0021381B" w:rsidP="0021381B">
            <w:r w:rsidRPr="0021381B">
              <w:t>10</w:t>
            </w:r>
          </w:p>
        </w:tc>
        <w:tc>
          <w:tcPr>
            <w:tcW w:w="1961" w:type="dxa"/>
            <w:hideMark/>
          </w:tcPr>
          <w:p w14:paraId="341B2BB2" w14:textId="77777777" w:rsidR="0021381B" w:rsidRPr="0021381B" w:rsidRDefault="0021381B" w:rsidP="0021381B">
            <w:r w:rsidRPr="0021381B">
              <w:t>認知症高齢者のケア</w:t>
            </w:r>
          </w:p>
        </w:tc>
        <w:tc>
          <w:tcPr>
            <w:tcW w:w="4678" w:type="dxa"/>
            <w:hideMark/>
          </w:tcPr>
          <w:p w14:paraId="5B98FB10" w14:textId="77777777" w:rsidR="0021381B" w:rsidRDefault="0021381B" w:rsidP="0021381B">
            <w:r w:rsidRPr="0021381B">
              <w:t>認知症の基礎知識</w:t>
            </w:r>
          </w:p>
          <w:p w14:paraId="02E4B443" w14:textId="77777777" w:rsidR="0021381B" w:rsidRDefault="0021381B" w:rsidP="0021381B">
            <w:r w:rsidRPr="0021381B">
              <w:t>認知機能低下に伴う日常生活支援</w:t>
            </w:r>
          </w:p>
          <w:p w14:paraId="11681493" w14:textId="583BA2E3" w:rsidR="0021381B" w:rsidRPr="0021381B" w:rsidRDefault="0021381B" w:rsidP="0021381B">
            <w:r w:rsidRPr="0021381B">
              <w:t>BPSD（行動・心理症状）への対応</w:t>
            </w:r>
          </w:p>
        </w:tc>
        <w:tc>
          <w:tcPr>
            <w:tcW w:w="2545" w:type="dxa"/>
            <w:hideMark/>
          </w:tcPr>
          <w:p w14:paraId="60E9F4C3" w14:textId="77777777" w:rsidR="0021381B" w:rsidRPr="0021381B" w:rsidRDefault="0021381B" w:rsidP="0021381B">
            <w:r w:rsidRPr="0021381B">
              <w:t>講義・グループワーク</w:t>
            </w:r>
          </w:p>
        </w:tc>
      </w:tr>
      <w:tr w:rsidR="0021381B" w:rsidRPr="0021381B" w14:paraId="10B7675F" w14:textId="77777777" w:rsidTr="0063102D">
        <w:tc>
          <w:tcPr>
            <w:tcW w:w="0" w:type="auto"/>
            <w:hideMark/>
          </w:tcPr>
          <w:p w14:paraId="1676F14C" w14:textId="77777777" w:rsidR="0021381B" w:rsidRPr="0021381B" w:rsidRDefault="0021381B" w:rsidP="0021381B">
            <w:r w:rsidRPr="0021381B">
              <w:t>11</w:t>
            </w:r>
          </w:p>
        </w:tc>
        <w:tc>
          <w:tcPr>
            <w:tcW w:w="1961" w:type="dxa"/>
            <w:hideMark/>
          </w:tcPr>
          <w:p w14:paraId="6C13B29E" w14:textId="77777777" w:rsidR="0021381B" w:rsidRPr="0021381B" w:rsidRDefault="0021381B" w:rsidP="0021381B">
            <w:r w:rsidRPr="0021381B">
              <w:t>高齢者のコミュニケーション</w:t>
            </w:r>
          </w:p>
        </w:tc>
        <w:tc>
          <w:tcPr>
            <w:tcW w:w="4678" w:type="dxa"/>
            <w:hideMark/>
          </w:tcPr>
          <w:p w14:paraId="72D2F12D" w14:textId="77777777" w:rsidR="0021381B" w:rsidRDefault="0021381B" w:rsidP="0021381B">
            <w:r w:rsidRPr="0021381B">
              <w:t>聴覚・視覚の変化を考慮したコミュニケーション技術</w:t>
            </w:r>
          </w:p>
          <w:p w14:paraId="4AB85893" w14:textId="3CD28206" w:rsidR="0021381B" w:rsidRPr="0021381B" w:rsidRDefault="0021381B" w:rsidP="0021381B">
            <w:r w:rsidRPr="0021381B">
              <w:t>非言語的コミュニケーションの活用</w:t>
            </w:r>
          </w:p>
        </w:tc>
        <w:tc>
          <w:tcPr>
            <w:tcW w:w="2545" w:type="dxa"/>
            <w:hideMark/>
          </w:tcPr>
          <w:p w14:paraId="1D2ADEF0" w14:textId="77777777" w:rsidR="0021381B" w:rsidRPr="0021381B" w:rsidRDefault="0021381B" w:rsidP="0021381B">
            <w:r w:rsidRPr="0021381B">
              <w:t>講義・ディスカッション</w:t>
            </w:r>
          </w:p>
        </w:tc>
      </w:tr>
      <w:tr w:rsidR="0021381B" w:rsidRPr="0021381B" w14:paraId="24E3AB0A" w14:textId="77777777" w:rsidTr="0063102D">
        <w:tc>
          <w:tcPr>
            <w:tcW w:w="0" w:type="auto"/>
            <w:hideMark/>
          </w:tcPr>
          <w:p w14:paraId="6705543E" w14:textId="77777777" w:rsidR="0021381B" w:rsidRPr="0021381B" w:rsidRDefault="0021381B" w:rsidP="0021381B">
            <w:r w:rsidRPr="0021381B">
              <w:t>12</w:t>
            </w:r>
          </w:p>
        </w:tc>
        <w:tc>
          <w:tcPr>
            <w:tcW w:w="1961" w:type="dxa"/>
            <w:hideMark/>
          </w:tcPr>
          <w:p w14:paraId="527DB938" w14:textId="77777777" w:rsidR="0021381B" w:rsidRPr="0021381B" w:rsidRDefault="0021381B" w:rsidP="0021381B">
            <w:r w:rsidRPr="0021381B">
              <w:t>高齢者の疼痛管理</w:t>
            </w:r>
          </w:p>
        </w:tc>
        <w:tc>
          <w:tcPr>
            <w:tcW w:w="4678" w:type="dxa"/>
            <w:hideMark/>
          </w:tcPr>
          <w:p w14:paraId="30920DC6" w14:textId="77777777" w:rsidR="0021381B" w:rsidRDefault="0021381B" w:rsidP="0021381B">
            <w:r w:rsidRPr="0021381B">
              <w:t>疼痛の特徴、評価方法（痛みスケール等）</w:t>
            </w:r>
          </w:p>
          <w:p w14:paraId="3C378C5C" w14:textId="0E56BCB4" w:rsidR="0021381B" w:rsidRPr="0021381B" w:rsidRDefault="0021381B" w:rsidP="0021381B">
            <w:r w:rsidRPr="0021381B">
              <w:t>薬物療法・非薬物療法の活用</w:t>
            </w:r>
          </w:p>
        </w:tc>
        <w:tc>
          <w:tcPr>
            <w:tcW w:w="2545" w:type="dxa"/>
            <w:hideMark/>
          </w:tcPr>
          <w:p w14:paraId="3A10784B" w14:textId="77777777" w:rsidR="0021381B" w:rsidRPr="0021381B" w:rsidRDefault="0021381B" w:rsidP="0021381B">
            <w:r w:rsidRPr="0021381B">
              <w:t>講義・グループワーク</w:t>
            </w:r>
          </w:p>
        </w:tc>
      </w:tr>
      <w:tr w:rsidR="0021381B" w:rsidRPr="0021381B" w14:paraId="0A1B176D" w14:textId="77777777" w:rsidTr="0063102D">
        <w:tc>
          <w:tcPr>
            <w:tcW w:w="0" w:type="auto"/>
            <w:hideMark/>
          </w:tcPr>
          <w:p w14:paraId="4D2577A6" w14:textId="77777777" w:rsidR="0021381B" w:rsidRPr="0021381B" w:rsidRDefault="0021381B" w:rsidP="0021381B">
            <w:r w:rsidRPr="0021381B">
              <w:t>13</w:t>
            </w:r>
          </w:p>
        </w:tc>
        <w:tc>
          <w:tcPr>
            <w:tcW w:w="1961" w:type="dxa"/>
            <w:hideMark/>
          </w:tcPr>
          <w:p w14:paraId="316BED0D" w14:textId="77777777" w:rsidR="0021381B" w:rsidRPr="0021381B" w:rsidRDefault="0021381B" w:rsidP="0021381B">
            <w:r w:rsidRPr="0021381B">
              <w:t>在宅療養と家族支援</w:t>
            </w:r>
          </w:p>
        </w:tc>
        <w:tc>
          <w:tcPr>
            <w:tcW w:w="4678" w:type="dxa"/>
            <w:hideMark/>
          </w:tcPr>
          <w:p w14:paraId="49856AC8" w14:textId="4E5A79A2" w:rsidR="0021381B" w:rsidRDefault="0021381B" w:rsidP="0021381B">
            <w:r w:rsidRPr="0021381B">
              <w:t>在宅ケアの実際</w:t>
            </w:r>
            <w:r w:rsidR="0063102D">
              <w:rPr>
                <w:rFonts w:hint="eastAsia"/>
              </w:rPr>
              <w:t>、</w:t>
            </w:r>
            <w:r w:rsidRPr="0021381B">
              <w:t>介護者支援の重要性</w:t>
            </w:r>
          </w:p>
          <w:p w14:paraId="1471EC15" w14:textId="042986BC" w:rsidR="0021381B" w:rsidRPr="0021381B" w:rsidRDefault="0021381B" w:rsidP="0021381B">
            <w:r w:rsidRPr="0021381B">
              <w:t>レスパイトケアの利用</w:t>
            </w:r>
            <w:r w:rsidR="0063102D">
              <w:rPr>
                <w:rFonts w:hint="eastAsia"/>
              </w:rPr>
              <w:t>、</w:t>
            </w:r>
            <w:r w:rsidRPr="0021381B">
              <w:t>地域資源の活用</w:t>
            </w:r>
          </w:p>
        </w:tc>
        <w:tc>
          <w:tcPr>
            <w:tcW w:w="2545" w:type="dxa"/>
            <w:hideMark/>
          </w:tcPr>
          <w:p w14:paraId="717AABBB" w14:textId="77777777" w:rsidR="0021381B" w:rsidRPr="0021381B" w:rsidRDefault="0021381B" w:rsidP="0021381B">
            <w:r w:rsidRPr="0021381B">
              <w:t>講義・ディスカッション</w:t>
            </w:r>
          </w:p>
        </w:tc>
      </w:tr>
      <w:tr w:rsidR="0021381B" w:rsidRPr="0021381B" w14:paraId="07733688" w14:textId="77777777" w:rsidTr="0063102D">
        <w:tc>
          <w:tcPr>
            <w:tcW w:w="0" w:type="auto"/>
            <w:hideMark/>
          </w:tcPr>
          <w:p w14:paraId="4C5E790E" w14:textId="77777777" w:rsidR="0021381B" w:rsidRPr="0021381B" w:rsidRDefault="0021381B" w:rsidP="0021381B">
            <w:r w:rsidRPr="0021381B">
              <w:t>14</w:t>
            </w:r>
          </w:p>
        </w:tc>
        <w:tc>
          <w:tcPr>
            <w:tcW w:w="1961" w:type="dxa"/>
            <w:hideMark/>
          </w:tcPr>
          <w:p w14:paraId="5F56DA5D" w14:textId="77777777" w:rsidR="0021381B" w:rsidRPr="0021381B" w:rsidRDefault="0021381B" w:rsidP="0021381B">
            <w:r w:rsidRPr="0021381B">
              <w:t>終末期ケアとエンド・オブ・ライフ・ケア</w:t>
            </w:r>
          </w:p>
        </w:tc>
        <w:tc>
          <w:tcPr>
            <w:tcW w:w="4678" w:type="dxa"/>
            <w:hideMark/>
          </w:tcPr>
          <w:p w14:paraId="12F0C46E" w14:textId="77777777" w:rsidR="0021381B" w:rsidRDefault="0021381B" w:rsidP="0021381B">
            <w:r w:rsidRPr="0021381B">
              <w:t>ターミナルケアの基本</w:t>
            </w:r>
          </w:p>
          <w:p w14:paraId="4A1B3637" w14:textId="77777777" w:rsidR="0021381B" w:rsidRDefault="0021381B" w:rsidP="0021381B">
            <w:r w:rsidRPr="0021381B">
              <w:t>アドバンス・ケア・プランニング（ACP）</w:t>
            </w:r>
          </w:p>
          <w:p w14:paraId="2203F82E" w14:textId="25305435" w:rsidR="0021381B" w:rsidRPr="0021381B" w:rsidRDefault="0021381B" w:rsidP="0021381B">
            <w:r w:rsidRPr="0021381B">
              <w:t>グリーフケア</w:t>
            </w:r>
          </w:p>
        </w:tc>
        <w:tc>
          <w:tcPr>
            <w:tcW w:w="2545" w:type="dxa"/>
            <w:hideMark/>
          </w:tcPr>
          <w:p w14:paraId="0D54C0C0" w14:textId="77777777" w:rsidR="0021381B" w:rsidRPr="0021381B" w:rsidRDefault="0021381B" w:rsidP="0021381B">
            <w:r w:rsidRPr="0021381B">
              <w:t>講義・グループワーク</w:t>
            </w:r>
          </w:p>
        </w:tc>
      </w:tr>
      <w:tr w:rsidR="0021381B" w:rsidRPr="0021381B" w14:paraId="52191F24" w14:textId="77777777" w:rsidTr="0063102D">
        <w:tc>
          <w:tcPr>
            <w:tcW w:w="0" w:type="auto"/>
            <w:hideMark/>
          </w:tcPr>
          <w:p w14:paraId="69FFBC65" w14:textId="77777777" w:rsidR="0021381B" w:rsidRPr="0021381B" w:rsidRDefault="0021381B" w:rsidP="0021381B">
            <w:r w:rsidRPr="0021381B">
              <w:t>15</w:t>
            </w:r>
          </w:p>
        </w:tc>
        <w:tc>
          <w:tcPr>
            <w:tcW w:w="1961" w:type="dxa"/>
            <w:hideMark/>
          </w:tcPr>
          <w:p w14:paraId="12EB695A" w14:textId="77777777" w:rsidR="0021381B" w:rsidRPr="0021381B" w:rsidRDefault="0021381B" w:rsidP="0021381B">
            <w:r w:rsidRPr="0021381B">
              <w:t>老年看護の実践演習</w:t>
            </w:r>
          </w:p>
        </w:tc>
        <w:tc>
          <w:tcPr>
            <w:tcW w:w="4678" w:type="dxa"/>
            <w:hideMark/>
          </w:tcPr>
          <w:p w14:paraId="285083C1" w14:textId="77777777" w:rsidR="0021381B" w:rsidRDefault="0021381B" w:rsidP="0021381B">
            <w:r w:rsidRPr="0021381B">
              <w:t>事例を用いた総合演習</w:t>
            </w:r>
          </w:p>
          <w:p w14:paraId="31500E50" w14:textId="77777777" w:rsidR="0021381B" w:rsidRDefault="0021381B" w:rsidP="0021381B">
            <w:r w:rsidRPr="0021381B">
              <w:t>日常生活援助技術の統合</w:t>
            </w:r>
          </w:p>
          <w:p w14:paraId="6C35626E" w14:textId="7C6B0948" w:rsidR="0021381B" w:rsidRPr="0021381B" w:rsidRDefault="0021381B" w:rsidP="0021381B">
            <w:r w:rsidRPr="0021381B">
              <w:t>問題解決能力の向上</w:t>
            </w:r>
          </w:p>
        </w:tc>
        <w:tc>
          <w:tcPr>
            <w:tcW w:w="2545" w:type="dxa"/>
            <w:hideMark/>
          </w:tcPr>
          <w:p w14:paraId="570E13C4" w14:textId="77777777" w:rsidR="0021381B" w:rsidRPr="0021381B" w:rsidRDefault="0021381B" w:rsidP="0021381B">
            <w:r w:rsidRPr="0021381B">
              <w:t>実技演習・グループワーク</w:t>
            </w:r>
          </w:p>
        </w:tc>
      </w:tr>
    </w:tbl>
    <w:p w14:paraId="53C892FD" w14:textId="77777777" w:rsidR="00C91F5E" w:rsidRPr="00C91F5E" w:rsidRDefault="00C91F5E">
      <w:pPr>
        <w:rPr>
          <w:rFonts w:hint="eastAsia"/>
        </w:rPr>
      </w:pPr>
    </w:p>
    <w:sectPr w:rsidR="00C91F5E" w:rsidRPr="00C91F5E" w:rsidSect="00C91F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B9FB" w14:textId="77777777" w:rsidR="00BE2CD8" w:rsidRDefault="00BE2CD8" w:rsidP="00BE2CD8">
      <w:r>
        <w:separator/>
      </w:r>
    </w:p>
  </w:endnote>
  <w:endnote w:type="continuationSeparator" w:id="0">
    <w:p w14:paraId="0AD77EDF" w14:textId="77777777" w:rsidR="00BE2CD8" w:rsidRDefault="00BE2CD8" w:rsidP="00BE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7212" w14:textId="77777777" w:rsidR="00BE2CD8" w:rsidRDefault="00BE2CD8" w:rsidP="00BE2CD8">
      <w:r>
        <w:separator/>
      </w:r>
    </w:p>
  </w:footnote>
  <w:footnote w:type="continuationSeparator" w:id="0">
    <w:p w14:paraId="3723CA3E" w14:textId="77777777" w:rsidR="00BE2CD8" w:rsidRDefault="00BE2CD8" w:rsidP="00BE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349"/>
    <w:multiLevelType w:val="multilevel"/>
    <w:tmpl w:val="8730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60B27"/>
    <w:multiLevelType w:val="multilevel"/>
    <w:tmpl w:val="1992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228649">
    <w:abstractNumId w:val="0"/>
  </w:num>
  <w:num w:numId="2" w16cid:durableId="9406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5E"/>
    <w:rsid w:val="0021381B"/>
    <w:rsid w:val="005A31D5"/>
    <w:rsid w:val="0063102D"/>
    <w:rsid w:val="008E35DC"/>
    <w:rsid w:val="009A52E0"/>
    <w:rsid w:val="00BE2CD8"/>
    <w:rsid w:val="00C91F5E"/>
    <w:rsid w:val="00DC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09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1F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1F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1F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1F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1F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1F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1F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1F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1F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1F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1F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1F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1F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1F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1F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1F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1F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1F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1F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1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F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1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F5E"/>
    <w:pPr>
      <w:spacing w:before="160" w:after="160"/>
      <w:jc w:val="center"/>
    </w:pPr>
    <w:rPr>
      <w:i/>
      <w:iCs/>
      <w:color w:val="404040" w:themeColor="text1" w:themeTint="BF"/>
    </w:rPr>
  </w:style>
  <w:style w:type="character" w:customStyle="1" w:styleId="a8">
    <w:name w:val="引用文 (文字)"/>
    <w:basedOn w:val="a0"/>
    <w:link w:val="a7"/>
    <w:uiPriority w:val="29"/>
    <w:rsid w:val="00C91F5E"/>
    <w:rPr>
      <w:i/>
      <w:iCs/>
      <w:color w:val="404040" w:themeColor="text1" w:themeTint="BF"/>
    </w:rPr>
  </w:style>
  <w:style w:type="paragraph" w:styleId="a9">
    <w:name w:val="List Paragraph"/>
    <w:basedOn w:val="a"/>
    <w:uiPriority w:val="34"/>
    <w:qFormat/>
    <w:rsid w:val="00C91F5E"/>
    <w:pPr>
      <w:ind w:left="720"/>
      <w:contextualSpacing/>
    </w:pPr>
  </w:style>
  <w:style w:type="character" w:styleId="21">
    <w:name w:val="Intense Emphasis"/>
    <w:basedOn w:val="a0"/>
    <w:uiPriority w:val="21"/>
    <w:qFormat/>
    <w:rsid w:val="00C91F5E"/>
    <w:rPr>
      <w:i/>
      <w:iCs/>
      <w:color w:val="0F4761" w:themeColor="accent1" w:themeShade="BF"/>
    </w:rPr>
  </w:style>
  <w:style w:type="paragraph" w:styleId="22">
    <w:name w:val="Intense Quote"/>
    <w:basedOn w:val="a"/>
    <w:next w:val="a"/>
    <w:link w:val="23"/>
    <w:uiPriority w:val="30"/>
    <w:qFormat/>
    <w:rsid w:val="00C9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1F5E"/>
    <w:rPr>
      <w:i/>
      <w:iCs/>
      <w:color w:val="0F4761" w:themeColor="accent1" w:themeShade="BF"/>
    </w:rPr>
  </w:style>
  <w:style w:type="character" w:styleId="24">
    <w:name w:val="Intense Reference"/>
    <w:basedOn w:val="a0"/>
    <w:uiPriority w:val="32"/>
    <w:qFormat/>
    <w:rsid w:val="00C91F5E"/>
    <w:rPr>
      <w:b/>
      <w:bCs/>
      <w:smallCaps/>
      <w:color w:val="0F4761" w:themeColor="accent1" w:themeShade="BF"/>
      <w:spacing w:val="5"/>
    </w:rPr>
  </w:style>
  <w:style w:type="paragraph" w:styleId="aa">
    <w:name w:val="header"/>
    <w:basedOn w:val="a"/>
    <w:link w:val="ab"/>
    <w:uiPriority w:val="99"/>
    <w:unhideWhenUsed/>
    <w:rsid w:val="00BE2CD8"/>
    <w:pPr>
      <w:tabs>
        <w:tab w:val="center" w:pos="4252"/>
        <w:tab w:val="right" w:pos="8504"/>
      </w:tabs>
      <w:snapToGrid w:val="0"/>
    </w:pPr>
  </w:style>
  <w:style w:type="character" w:customStyle="1" w:styleId="ab">
    <w:name w:val="ヘッダー (文字)"/>
    <w:basedOn w:val="a0"/>
    <w:link w:val="aa"/>
    <w:uiPriority w:val="99"/>
    <w:rsid w:val="00BE2CD8"/>
  </w:style>
  <w:style w:type="paragraph" w:styleId="ac">
    <w:name w:val="footer"/>
    <w:basedOn w:val="a"/>
    <w:link w:val="ad"/>
    <w:uiPriority w:val="99"/>
    <w:unhideWhenUsed/>
    <w:rsid w:val="00BE2CD8"/>
    <w:pPr>
      <w:tabs>
        <w:tab w:val="center" w:pos="4252"/>
        <w:tab w:val="right" w:pos="8504"/>
      </w:tabs>
      <w:snapToGrid w:val="0"/>
    </w:pPr>
  </w:style>
  <w:style w:type="character" w:customStyle="1" w:styleId="ad">
    <w:name w:val="フッター (文字)"/>
    <w:basedOn w:val="a0"/>
    <w:link w:val="ac"/>
    <w:uiPriority w:val="99"/>
    <w:rsid w:val="00BE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8032">
      <w:bodyDiv w:val="1"/>
      <w:marLeft w:val="0"/>
      <w:marRight w:val="0"/>
      <w:marTop w:val="0"/>
      <w:marBottom w:val="0"/>
      <w:divBdr>
        <w:top w:val="none" w:sz="0" w:space="0" w:color="auto"/>
        <w:left w:val="none" w:sz="0" w:space="0" w:color="auto"/>
        <w:bottom w:val="none" w:sz="0" w:space="0" w:color="auto"/>
        <w:right w:val="none" w:sz="0" w:space="0" w:color="auto"/>
      </w:divBdr>
    </w:div>
    <w:div w:id="588075364">
      <w:bodyDiv w:val="1"/>
      <w:marLeft w:val="0"/>
      <w:marRight w:val="0"/>
      <w:marTop w:val="0"/>
      <w:marBottom w:val="0"/>
      <w:divBdr>
        <w:top w:val="none" w:sz="0" w:space="0" w:color="auto"/>
        <w:left w:val="none" w:sz="0" w:space="0" w:color="auto"/>
        <w:bottom w:val="none" w:sz="0" w:space="0" w:color="auto"/>
        <w:right w:val="none" w:sz="0" w:space="0" w:color="auto"/>
      </w:divBdr>
    </w:div>
    <w:div w:id="600841348">
      <w:bodyDiv w:val="1"/>
      <w:marLeft w:val="0"/>
      <w:marRight w:val="0"/>
      <w:marTop w:val="0"/>
      <w:marBottom w:val="0"/>
      <w:divBdr>
        <w:top w:val="none" w:sz="0" w:space="0" w:color="auto"/>
        <w:left w:val="none" w:sz="0" w:space="0" w:color="auto"/>
        <w:bottom w:val="none" w:sz="0" w:space="0" w:color="auto"/>
        <w:right w:val="none" w:sz="0" w:space="0" w:color="auto"/>
      </w:divBdr>
    </w:div>
    <w:div w:id="1864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2025-04-02T03:32:00Z</dcterms:created>
  <dcterms:modified xsi:type="dcterms:W3CDTF">2025-04-02T03:38:00Z</dcterms:modified>
</cp:coreProperties>
</file>